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2313A610"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1848C1">
        <w:rPr>
          <w:rFonts w:asciiTheme="majorHAnsi" w:hAnsiTheme="majorHAnsi" w:cstheme="majorHAnsi"/>
        </w:rPr>
        <w:t>ity</w:t>
      </w:r>
      <w:r w:rsidRPr="003541A9">
        <w:rPr>
          <w:rFonts w:asciiTheme="majorHAnsi" w:hAnsiTheme="majorHAnsi" w:cstheme="majorHAnsi"/>
        </w:rPr>
        <w:t>, and Gender Diversity Panel</w:t>
      </w:r>
    </w:p>
    <w:p w14:paraId="667F9663" w14:textId="56D5721B" w:rsidR="006B5482" w:rsidRPr="003541A9" w:rsidRDefault="007E1160" w:rsidP="006B5482">
      <w:pPr>
        <w:pStyle w:val="NoSpacing"/>
        <w:jc w:val="center"/>
        <w:rPr>
          <w:rFonts w:asciiTheme="majorHAnsi" w:hAnsiTheme="majorHAnsi" w:cstheme="majorHAnsi"/>
        </w:rPr>
      </w:pPr>
      <w:r>
        <w:rPr>
          <w:rFonts w:asciiTheme="majorHAnsi" w:hAnsiTheme="majorHAnsi" w:cstheme="majorHAnsi"/>
        </w:rPr>
        <w:t>A</w:t>
      </w:r>
      <w:r w:rsidR="00E15C54">
        <w:rPr>
          <w:rFonts w:asciiTheme="majorHAnsi" w:hAnsiTheme="majorHAnsi" w:cstheme="majorHAnsi"/>
        </w:rPr>
        <w:t>pproved</w:t>
      </w:r>
      <w:r w:rsidR="006B5482" w:rsidRPr="003541A9">
        <w:rPr>
          <w:rFonts w:asciiTheme="majorHAnsi" w:hAnsiTheme="majorHAnsi" w:cstheme="majorHAnsi"/>
        </w:rPr>
        <w:t xml:space="preserve"> Minutes</w:t>
      </w:r>
    </w:p>
    <w:p w14:paraId="47B94794" w14:textId="631098FB"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225131">
        <w:rPr>
          <w:rFonts w:asciiTheme="majorHAnsi" w:hAnsiTheme="majorHAnsi" w:cstheme="majorHAnsi"/>
        </w:rPr>
        <w:t xml:space="preserve">February </w:t>
      </w:r>
      <w:r w:rsidR="00F75241">
        <w:rPr>
          <w:rFonts w:asciiTheme="majorHAnsi" w:hAnsiTheme="majorHAnsi" w:cstheme="majorHAnsi"/>
        </w:rPr>
        <w:t>23</w:t>
      </w:r>
      <w:r w:rsidR="00F75241" w:rsidRPr="00F75241">
        <w:rPr>
          <w:rFonts w:asciiTheme="majorHAnsi" w:hAnsiTheme="majorHAnsi" w:cstheme="majorHAnsi"/>
          <w:vertAlign w:val="superscript"/>
        </w:rPr>
        <w:t>rd</w:t>
      </w:r>
      <w:r w:rsidR="006B5482" w:rsidRPr="003541A9">
        <w:rPr>
          <w:rFonts w:asciiTheme="majorHAnsi" w:hAnsiTheme="majorHAnsi" w:cstheme="majorHAnsi"/>
        </w:rPr>
        <w:t xml:space="preserve">, </w:t>
      </w:r>
      <w:proofErr w:type="gramStart"/>
      <w:r w:rsidR="006B5482" w:rsidRPr="003541A9">
        <w:rPr>
          <w:rFonts w:asciiTheme="majorHAnsi" w:hAnsiTheme="majorHAnsi" w:cstheme="majorHAnsi"/>
        </w:rPr>
        <w:t>202</w:t>
      </w:r>
      <w:r>
        <w:rPr>
          <w:rFonts w:asciiTheme="majorHAnsi" w:hAnsiTheme="majorHAnsi" w:cstheme="majorHAnsi"/>
        </w:rPr>
        <w:t>2</w:t>
      </w:r>
      <w:proofErr w:type="gram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51834D39"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C32489">
        <w:rPr>
          <w:rFonts w:asciiTheme="majorHAnsi" w:hAnsiTheme="majorHAnsi" w:cstheme="majorHAnsi"/>
        </w:rPr>
        <w:t xml:space="preserve">Abrams, </w:t>
      </w:r>
      <w:r w:rsidR="001E05E0">
        <w:rPr>
          <w:rFonts w:asciiTheme="majorHAnsi" w:hAnsiTheme="majorHAnsi" w:cstheme="majorHAnsi"/>
        </w:rPr>
        <w:t xml:space="preserve">Fletcher, </w:t>
      </w:r>
      <w:r w:rsidR="00F75241">
        <w:rPr>
          <w:rFonts w:asciiTheme="majorHAnsi" w:hAnsiTheme="majorHAnsi" w:cstheme="majorHAnsi"/>
        </w:rPr>
        <w:t xml:space="preserve">Hilty, </w:t>
      </w:r>
      <w:r w:rsidR="00C32489">
        <w:rPr>
          <w:rFonts w:asciiTheme="majorHAnsi" w:hAnsiTheme="majorHAnsi" w:cstheme="majorHAnsi"/>
        </w:rPr>
        <w:t>P</w:t>
      </w:r>
      <w:r w:rsidR="001E05E0">
        <w:rPr>
          <w:rFonts w:asciiTheme="majorHAnsi" w:hAnsiTheme="majorHAnsi" w:cstheme="majorHAnsi"/>
        </w:rPr>
        <w:t xml:space="preserve">once, Price-Spratlen, </w:t>
      </w:r>
      <w:r w:rsidR="00F75241">
        <w:rPr>
          <w:rFonts w:asciiTheme="majorHAnsi" w:hAnsiTheme="majorHAnsi" w:cstheme="majorHAnsi"/>
        </w:rPr>
        <w:t>Steele, Vankeerbergen</w:t>
      </w:r>
    </w:p>
    <w:p w14:paraId="7ADC8C87" w14:textId="77777777"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1C1AABA9" w14:textId="47075240" w:rsidR="00ED61D7" w:rsidRDefault="00F75241" w:rsidP="00C32489">
      <w:pPr>
        <w:numPr>
          <w:ilvl w:val="0"/>
          <w:numId w:val="19"/>
        </w:numPr>
        <w:spacing w:line="240" w:lineRule="auto"/>
        <w:rPr>
          <w:rFonts w:asciiTheme="majorHAnsi" w:eastAsia="Times New Roman" w:hAnsiTheme="majorHAnsi" w:cstheme="majorHAnsi"/>
          <w:color w:val="000000"/>
          <w:lang w:val="en-US"/>
        </w:rPr>
      </w:pPr>
      <w:r w:rsidRPr="00F75241">
        <w:rPr>
          <w:rFonts w:asciiTheme="majorHAnsi" w:eastAsia="Times New Roman" w:hAnsiTheme="majorHAnsi" w:cstheme="majorHAnsi"/>
          <w:color w:val="000000"/>
          <w:lang w:val="en-US"/>
        </w:rPr>
        <w:t>Approval of 2/9/22 minutes</w:t>
      </w:r>
    </w:p>
    <w:p w14:paraId="7EEB2B93" w14:textId="4847CA47" w:rsidR="00C32489" w:rsidRPr="00C32489" w:rsidRDefault="00C32489" w:rsidP="00C3248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Ponce, Abrams; approved </w:t>
      </w:r>
      <w:r w:rsidR="001E05E0">
        <w:rPr>
          <w:rFonts w:asciiTheme="majorHAnsi" w:eastAsia="Times New Roman" w:hAnsiTheme="majorHAnsi" w:cstheme="majorHAnsi"/>
          <w:color w:val="000000"/>
          <w:lang w:val="en-US"/>
        </w:rPr>
        <w:t xml:space="preserve">with </w:t>
      </w:r>
      <w:r>
        <w:rPr>
          <w:rFonts w:asciiTheme="majorHAnsi" w:eastAsia="Times New Roman" w:hAnsiTheme="majorHAnsi" w:cstheme="majorHAnsi"/>
          <w:color w:val="000000"/>
          <w:lang w:val="en-US"/>
        </w:rPr>
        <w:t>one abstention</w:t>
      </w:r>
    </w:p>
    <w:p w14:paraId="05A1380D" w14:textId="1F622151" w:rsidR="00F75241" w:rsidRDefault="00F75241" w:rsidP="00F75241">
      <w:pPr>
        <w:numPr>
          <w:ilvl w:val="0"/>
          <w:numId w:val="19"/>
        </w:numPr>
        <w:spacing w:line="240" w:lineRule="auto"/>
        <w:rPr>
          <w:rFonts w:asciiTheme="majorHAnsi" w:eastAsia="Times New Roman" w:hAnsiTheme="majorHAnsi" w:cstheme="majorHAnsi"/>
          <w:color w:val="000000"/>
          <w:lang w:val="en-US"/>
        </w:rPr>
      </w:pPr>
      <w:r w:rsidRPr="00F75241">
        <w:rPr>
          <w:rFonts w:asciiTheme="majorHAnsi" w:eastAsia="Times New Roman" w:hAnsiTheme="majorHAnsi" w:cstheme="majorHAnsi"/>
          <w:color w:val="000000"/>
          <w:lang w:val="en-US"/>
        </w:rPr>
        <w:t>English 2270 and Comparative Studies 2350 (existing cross-listed courses with GE Cultures and Ideas; will become new GE Foundation: Historical and Cultural Studies; requesting new GE Foundation: REGD)</w:t>
      </w:r>
    </w:p>
    <w:p w14:paraId="12A4F59F" w14:textId="04657D89" w:rsidR="0067193E" w:rsidRDefault="0067193E" w:rsidP="0067193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Comment: The Panel would like to express their support for the course, and particularly appreciated the strong feminist ethic, the way the c</w:t>
      </w:r>
      <w:r w:rsidR="001848C1">
        <w:rPr>
          <w:rFonts w:asciiTheme="majorHAnsi" w:eastAsia="Times New Roman" w:hAnsiTheme="majorHAnsi" w:cstheme="majorHAnsi"/>
          <w:color w:val="000000"/>
          <w:lang w:val="en-US"/>
        </w:rPr>
        <w:t>ourse</w:t>
      </w:r>
      <w:r>
        <w:rPr>
          <w:rFonts w:asciiTheme="majorHAnsi" w:eastAsia="Times New Roman" w:hAnsiTheme="majorHAnsi" w:cstheme="majorHAnsi"/>
          <w:color w:val="000000"/>
          <w:lang w:val="en-US"/>
        </w:rPr>
        <w:t xml:space="preserve"> views intersectionality through the lens of women, and the centering of women’s stories.  </w:t>
      </w:r>
    </w:p>
    <w:p w14:paraId="53E57C90" w14:textId="3BE41DDA" w:rsidR="006A4F59" w:rsidRPr="006A4F59" w:rsidRDefault="006A4F59" w:rsidP="00C3248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 xml:space="preserve">Contingency: </w:t>
      </w:r>
      <w:r>
        <w:rPr>
          <w:rFonts w:asciiTheme="majorHAnsi" w:eastAsia="Times New Roman" w:hAnsiTheme="majorHAnsi" w:cstheme="majorHAnsi"/>
          <w:color w:val="000000"/>
          <w:lang w:val="en-US"/>
        </w:rPr>
        <w:t>The Panel asks that the syllabus</w:t>
      </w:r>
      <w:r w:rsidR="002518FD">
        <w:rPr>
          <w:rFonts w:asciiTheme="majorHAnsi" w:eastAsia="Times New Roman" w:hAnsiTheme="majorHAnsi" w:cstheme="majorHAnsi"/>
          <w:color w:val="000000"/>
          <w:lang w:val="en-US"/>
        </w:rPr>
        <w:t xml:space="preserve"> be modified to</w:t>
      </w:r>
      <w:r>
        <w:rPr>
          <w:rFonts w:asciiTheme="majorHAnsi" w:eastAsia="Times New Roman" w:hAnsiTheme="majorHAnsi" w:cstheme="majorHAnsi"/>
          <w:color w:val="000000"/>
          <w:lang w:val="en-US"/>
        </w:rPr>
        <w:t xml:space="preserve"> include more of the excellent information that was provided in the GE submission form.  While the Panel notes and appreciates the hard work that was put into designing the class as described in the form, they would like to see more of the</w:t>
      </w:r>
      <w:r w:rsidR="001848C1">
        <w:rPr>
          <w:rFonts w:asciiTheme="majorHAnsi" w:eastAsia="Times New Roman" w:hAnsiTheme="majorHAnsi" w:cstheme="majorHAnsi"/>
          <w:color w:val="000000"/>
          <w:lang w:val="en-US"/>
        </w:rPr>
        <w:t xml:space="preserve"> form’s </w:t>
      </w:r>
      <w:proofErr w:type="spellStart"/>
      <w:r w:rsidR="001848C1">
        <w:rPr>
          <w:rFonts w:asciiTheme="majorHAnsi" w:eastAsia="Times New Roman" w:hAnsiTheme="majorHAnsi" w:cstheme="majorHAnsi"/>
          <w:color w:val="000000"/>
          <w:lang w:val="en-US"/>
        </w:rPr>
        <w:t>detials</w:t>
      </w:r>
      <w:proofErr w:type="spellEnd"/>
      <w:r>
        <w:rPr>
          <w:rFonts w:asciiTheme="majorHAnsi" w:eastAsia="Times New Roman" w:hAnsiTheme="majorHAnsi" w:cstheme="majorHAnsi"/>
          <w:color w:val="000000"/>
          <w:lang w:val="en-US"/>
        </w:rPr>
        <w:t xml:space="preserve"> brought into </w:t>
      </w:r>
      <w:r w:rsidR="002518FD">
        <w:rPr>
          <w:rFonts w:asciiTheme="majorHAnsi" w:eastAsia="Times New Roman" w:hAnsiTheme="majorHAnsi" w:cstheme="majorHAnsi"/>
          <w:color w:val="000000"/>
          <w:lang w:val="en-US"/>
        </w:rPr>
        <w:t>the syllabus so that students understand how race, ethnicity, and gender diversity are</w:t>
      </w:r>
      <w:r w:rsidR="001848C1">
        <w:rPr>
          <w:rFonts w:asciiTheme="majorHAnsi" w:eastAsia="Times New Roman" w:hAnsiTheme="majorHAnsi" w:cstheme="majorHAnsi"/>
          <w:color w:val="000000"/>
          <w:lang w:val="en-US"/>
        </w:rPr>
        <w:t xml:space="preserve"> the focus of</w:t>
      </w:r>
      <w:r w:rsidR="002518FD">
        <w:rPr>
          <w:rFonts w:asciiTheme="majorHAnsi" w:eastAsia="Times New Roman" w:hAnsiTheme="majorHAnsi" w:cstheme="majorHAnsi"/>
          <w:color w:val="000000"/>
          <w:lang w:val="en-US"/>
        </w:rPr>
        <w:t xml:space="preserve"> the course.  For example, they note that naming the range of different ethnic</w:t>
      </w:r>
      <w:r w:rsidR="001848C1">
        <w:rPr>
          <w:rFonts w:asciiTheme="majorHAnsi" w:eastAsia="Times New Roman" w:hAnsiTheme="majorHAnsi" w:cstheme="majorHAnsi"/>
          <w:color w:val="000000"/>
          <w:lang w:val="en-US"/>
        </w:rPr>
        <w:t>ities</w:t>
      </w:r>
      <w:r w:rsidR="002518FD">
        <w:rPr>
          <w:rFonts w:asciiTheme="majorHAnsi" w:eastAsia="Times New Roman" w:hAnsiTheme="majorHAnsi" w:cstheme="majorHAnsi"/>
          <w:color w:val="000000"/>
          <w:lang w:val="en-US"/>
        </w:rPr>
        <w:t xml:space="preserve"> and women’s cultures that will be explored could help students understand how folklore will be studied in this course.</w:t>
      </w:r>
    </w:p>
    <w:p w14:paraId="753BCB65" w14:textId="4557C9CC" w:rsidR="00C32489" w:rsidRDefault="00C32489" w:rsidP="00C32489">
      <w:pPr>
        <w:numPr>
          <w:ilvl w:val="1"/>
          <w:numId w:val="19"/>
        </w:numPr>
        <w:spacing w:line="240" w:lineRule="auto"/>
        <w:rPr>
          <w:rFonts w:asciiTheme="majorHAnsi" w:eastAsia="Times New Roman" w:hAnsiTheme="majorHAnsi" w:cstheme="majorHAnsi"/>
          <w:color w:val="000000"/>
          <w:lang w:val="en-US"/>
        </w:rPr>
      </w:pPr>
      <w:r w:rsidRPr="0046427C">
        <w:rPr>
          <w:rFonts w:asciiTheme="majorHAnsi" w:eastAsia="Times New Roman" w:hAnsiTheme="majorHAnsi" w:cstheme="majorHAnsi"/>
          <w:b/>
          <w:bCs/>
          <w:color w:val="000000"/>
          <w:lang w:val="en-US"/>
        </w:rPr>
        <w:t>Contingency:</w:t>
      </w:r>
      <w:r>
        <w:rPr>
          <w:rFonts w:asciiTheme="majorHAnsi" w:eastAsia="Times New Roman" w:hAnsiTheme="majorHAnsi" w:cstheme="majorHAnsi"/>
          <w:color w:val="000000"/>
          <w:lang w:val="en-US"/>
        </w:rPr>
        <w:t xml:space="preserve"> </w:t>
      </w:r>
      <w:r w:rsidR="0046427C">
        <w:rPr>
          <w:rFonts w:asciiTheme="majorHAnsi" w:eastAsia="Times New Roman" w:hAnsiTheme="majorHAnsi" w:cstheme="majorHAnsi"/>
          <w:color w:val="000000"/>
          <w:lang w:val="en-US"/>
        </w:rPr>
        <w:t>The Panel request that the department</w:t>
      </w:r>
      <w:r w:rsidR="006A4F59">
        <w:rPr>
          <w:rFonts w:asciiTheme="majorHAnsi" w:eastAsia="Times New Roman" w:hAnsiTheme="majorHAnsi" w:cstheme="majorHAnsi"/>
          <w:color w:val="000000"/>
          <w:lang w:val="en-US"/>
        </w:rPr>
        <w:t>s</w:t>
      </w:r>
      <w:r w:rsidR="0046427C">
        <w:rPr>
          <w:rFonts w:asciiTheme="majorHAnsi" w:eastAsia="Times New Roman" w:hAnsiTheme="majorHAnsi" w:cstheme="majorHAnsi"/>
          <w:color w:val="000000"/>
          <w:lang w:val="en-US"/>
        </w:rPr>
        <w:t xml:space="preserve"> alter the </w:t>
      </w:r>
      <w:r w:rsidR="006A4F59">
        <w:rPr>
          <w:rFonts w:asciiTheme="majorHAnsi" w:eastAsia="Times New Roman" w:hAnsiTheme="majorHAnsi" w:cstheme="majorHAnsi"/>
          <w:color w:val="000000"/>
          <w:lang w:val="en-US"/>
        </w:rPr>
        <w:t>General</w:t>
      </w:r>
      <w:r w:rsidR="0046427C">
        <w:rPr>
          <w:rFonts w:asciiTheme="majorHAnsi" w:eastAsia="Times New Roman" w:hAnsiTheme="majorHAnsi" w:cstheme="majorHAnsi"/>
          <w:color w:val="000000"/>
          <w:lang w:val="en-US"/>
        </w:rPr>
        <w:t xml:space="preserve"> Description of the course (syllabus, pg. 1) to include discussion of race, </w:t>
      </w:r>
      <w:r w:rsidR="006A4F59">
        <w:rPr>
          <w:rFonts w:asciiTheme="majorHAnsi" w:eastAsia="Times New Roman" w:hAnsiTheme="majorHAnsi" w:cstheme="majorHAnsi"/>
          <w:color w:val="000000"/>
          <w:lang w:val="en-US"/>
        </w:rPr>
        <w:t>gender,</w:t>
      </w:r>
      <w:r w:rsidR="0046427C">
        <w:rPr>
          <w:rFonts w:asciiTheme="majorHAnsi" w:eastAsia="Times New Roman" w:hAnsiTheme="majorHAnsi" w:cstheme="majorHAnsi"/>
          <w:color w:val="000000"/>
          <w:lang w:val="en-US"/>
        </w:rPr>
        <w:t xml:space="preserve"> and ethnicity so that students understand how the GE category is centered in the course.</w:t>
      </w:r>
    </w:p>
    <w:p w14:paraId="162746D3" w14:textId="65C0ADC5" w:rsidR="00C32489" w:rsidRDefault="00C32489" w:rsidP="00C32489">
      <w:pPr>
        <w:numPr>
          <w:ilvl w:val="1"/>
          <w:numId w:val="19"/>
        </w:numPr>
        <w:spacing w:line="240" w:lineRule="auto"/>
        <w:rPr>
          <w:rFonts w:asciiTheme="majorHAnsi" w:eastAsia="Times New Roman" w:hAnsiTheme="majorHAnsi" w:cstheme="majorHAnsi"/>
          <w:color w:val="000000"/>
          <w:lang w:val="en-US"/>
        </w:rPr>
      </w:pPr>
      <w:r w:rsidRPr="006A4F59">
        <w:rPr>
          <w:rFonts w:asciiTheme="majorHAnsi" w:eastAsia="Times New Roman" w:hAnsiTheme="majorHAnsi" w:cstheme="majorHAnsi"/>
          <w:b/>
          <w:bCs/>
          <w:color w:val="000000"/>
          <w:lang w:val="en-US"/>
        </w:rPr>
        <w:t>Contingency</w:t>
      </w:r>
      <w:r>
        <w:rPr>
          <w:rFonts w:asciiTheme="majorHAnsi" w:eastAsia="Times New Roman" w:hAnsiTheme="majorHAnsi" w:cstheme="majorHAnsi"/>
          <w:color w:val="000000"/>
          <w:lang w:val="en-US"/>
        </w:rPr>
        <w:t xml:space="preserve">: </w:t>
      </w:r>
      <w:r w:rsidR="006A4F59">
        <w:rPr>
          <w:rFonts w:asciiTheme="majorHAnsi" w:eastAsia="Times New Roman" w:hAnsiTheme="majorHAnsi" w:cstheme="majorHAnsi"/>
          <w:color w:val="000000"/>
          <w:lang w:val="en-US"/>
        </w:rPr>
        <w:t>The Panel asks that the departments modify the assignments</w:t>
      </w:r>
      <w:r w:rsidR="002518FD">
        <w:rPr>
          <w:rFonts w:asciiTheme="majorHAnsi" w:eastAsia="Times New Roman" w:hAnsiTheme="majorHAnsi" w:cstheme="majorHAnsi"/>
          <w:color w:val="000000"/>
          <w:lang w:val="en-US"/>
        </w:rPr>
        <w:t>/assignment descriptions</w:t>
      </w:r>
      <w:r w:rsidR="006A4F59">
        <w:rPr>
          <w:rFonts w:asciiTheme="majorHAnsi" w:eastAsia="Times New Roman" w:hAnsiTheme="majorHAnsi" w:cstheme="majorHAnsi"/>
          <w:color w:val="000000"/>
          <w:lang w:val="en-US"/>
        </w:rPr>
        <w:t xml:space="preserve"> to include attention to REGD issues</w:t>
      </w:r>
      <w:r w:rsidR="002518FD">
        <w:rPr>
          <w:rFonts w:asciiTheme="majorHAnsi" w:eastAsia="Times New Roman" w:hAnsiTheme="majorHAnsi" w:cstheme="majorHAnsi"/>
          <w:color w:val="000000"/>
          <w:lang w:val="en-US"/>
        </w:rPr>
        <w:t>.</w:t>
      </w:r>
    </w:p>
    <w:p w14:paraId="2BD739C1" w14:textId="4EE0F1FB" w:rsidR="008C1FA9" w:rsidRPr="00C32489" w:rsidRDefault="008C1FA9" w:rsidP="00C3248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Contingency</w:t>
      </w:r>
      <w:r w:rsidRPr="008C1FA9">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w:t>
      </w:r>
      <w:r w:rsidR="00110A89">
        <w:rPr>
          <w:rFonts w:asciiTheme="majorHAnsi" w:eastAsia="Times New Roman" w:hAnsiTheme="majorHAnsi" w:cstheme="majorHAnsi"/>
          <w:color w:val="000000"/>
          <w:lang w:val="en-US"/>
        </w:rPr>
        <w:t xml:space="preserve">The Panel asks that the department include a statement about how this class meets the Goals and Expected Learning Outcomes of the REGD GE category, as required by the ASCC Syllabus Guidelines found here: </w:t>
      </w:r>
      <w:hyperlink r:id="rId5" w:history="1">
        <w:r w:rsidR="00110A89" w:rsidRPr="00F21846">
          <w:rPr>
            <w:rStyle w:val="Hyperlink"/>
            <w:rFonts w:asciiTheme="majorHAnsi" w:eastAsia="Times New Roman" w:hAnsiTheme="majorHAnsi" w:cstheme="majorHAnsi"/>
            <w:lang w:val="en-US"/>
          </w:rPr>
          <w:t>https://asccas.osu.edu/curriculum/syllabus-elements</w:t>
        </w:r>
      </w:hyperlink>
      <w:r w:rsidR="00110A89">
        <w:rPr>
          <w:rFonts w:asciiTheme="majorHAnsi" w:eastAsia="Times New Roman" w:hAnsiTheme="majorHAnsi" w:cstheme="majorHAnsi"/>
          <w:color w:val="000000"/>
          <w:lang w:val="en-US"/>
        </w:rPr>
        <w:t xml:space="preserve"> </w:t>
      </w:r>
    </w:p>
    <w:p w14:paraId="49FF68C5" w14:textId="284649C2" w:rsidR="0067193E" w:rsidRDefault="0067193E" w:rsidP="0067193E">
      <w:pPr>
        <w:numPr>
          <w:ilvl w:val="1"/>
          <w:numId w:val="19"/>
        </w:numPr>
        <w:spacing w:line="240" w:lineRule="auto"/>
        <w:rPr>
          <w:rFonts w:asciiTheme="majorHAnsi" w:eastAsia="Times New Roman" w:hAnsiTheme="majorHAnsi" w:cstheme="majorHAnsi"/>
          <w:color w:val="000000"/>
          <w:lang w:val="en-US"/>
        </w:rPr>
      </w:pPr>
      <w:r w:rsidRPr="0067193E">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w:t>
      </w:r>
      <w:r w:rsidR="00DD1420">
        <w:rPr>
          <w:rFonts w:asciiTheme="majorHAnsi" w:eastAsia="Times New Roman" w:hAnsiTheme="majorHAnsi" w:cstheme="majorHAnsi"/>
          <w:color w:val="000000"/>
          <w:lang w:val="en-US"/>
        </w:rPr>
        <w:t>recommends</w:t>
      </w:r>
      <w:r w:rsidRPr="00421F3B">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6"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177409D8" w14:textId="1C0ACF55" w:rsidR="002D4812" w:rsidRPr="00410BC2" w:rsidRDefault="00410BC2" w:rsidP="002D4812">
      <w:pPr>
        <w:numPr>
          <w:ilvl w:val="1"/>
          <w:numId w:val="19"/>
        </w:numPr>
        <w:spacing w:line="240" w:lineRule="auto"/>
        <w:rPr>
          <w:rFonts w:asciiTheme="majorHAnsi" w:eastAsia="Times New Roman" w:hAnsiTheme="majorHAnsi" w:cstheme="majorHAnsi"/>
          <w:lang w:val="en-US"/>
        </w:rPr>
      </w:pPr>
      <w:r w:rsidRPr="0067193E">
        <w:rPr>
          <w:rFonts w:asciiTheme="majorHAnsi" w:eastAsia="Times New Roman" w:hAnsiTheme="majorHAnsi" w:cstheme="majorHAnsi"/>
          <w:i/>
          <w:iCs/>
          <w:lang w:val="en-US"/>
        </w:rPr>
        <w:t>Recommendation:</w:t>
      </w:r>
      <w:r w:rsidRPr="00410BC2">
        <w:rPr>
          <w:rFonts w:asciiTheme="majorHAnsi" w:eastAsia="Times New Roman" w:hAnsiTheme="majorHAnsi" w:cstheme="majorHAnsi"/>
          <w:lang w:val="en-US"/>
        </w:rPr>
        <w:t xml:space="preserve"> </w:t>
      </w:r>
      <w:r w:rsidR="0067193E">
        <w:rPr>
          <w:rFonts w:asciiTheme="majorHAnsi" w:eastAsia="Times New Roman" w:hAnsiTheme="majorHAnsi" w:cstheme="majorHAnsi"/>
          <w:lang w:val="en-US"/>
        </w:rPr>
        <w:t>The Panel recommends that the department correct the name of the GE Category (s</w:t>
      </w:r>
      <w:r w:rsidR="002D4812" w:rsidRPr="00410BC2">
        <w:rPr>
          <w:rFonts w:asciiTheme="majorHAnsi" w:eastAsia="Times New Roman" w:hAnsiTheme="majorHAnsi" w:cstheme="majorHAnsi"/>
          <w:lang w:val="en-US"/>
        </w:rPr>
        <w:t xml:space="preserve">yllabus pg. </w:t>
      </w:r>
      <w:r w:rsidR="0067193E">
        <w:rPr>
          <w:rFonts w:asciiTheme="majorHAnsi" w:eastAsia="Times New Roman" w:hAnsiTheme="majorHAnsi" w:cstheme="majorHAnsi"/>
          <w:lang w:val="en-US"/>
        </w:rPr>
        <w:t>1 under General Education Foundations)</w:t>
      </w:r>
      <w:r w:rsidR="008C1FA9">
        <w:rPr>
          <w:rFonts w:asciiTheme="majorHAnsi" w:eastAsia="Times New Roman" w:hAnsiTheme="majorHAnsi" w:cstheme="majorHAnsi"/>
          <w:lang w:val="en-US"/>
        </w:rPr>
        <w:t xml:space="preserve"> to read “Race, Ethnicity and Gender Diversity”.</w:t>
      </w:r>
    </w:p>
    <w:p w14:paraId="5AC2F101" w14:textId="5799F4C9" w:rsidR="00410BC2" w:rsidRPr="00C32489" w:rsidRDefault="00410BC2" w:rsidP="00410BC2">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Price</w:t>
      </w:r>
      <w:r w:rsidR="006E0106">
        <w:rPr>
          <w:rFonts w:asciiTheme="majorHAnsi" w:eastAsia="Times New Roman" w:hAnsiTheme="majorHAnsi" w:cstheme="majorHAnsi"/>
          <w:lang w:val="en-US"/>
        </w:rPr>
        <w:t>-</w:t>
      </w:r>
      <w:r>
        <w:rPr>
          <w:rFonts w:asciiTheme="majorHAnsi" w:eastAsia="Times New Roman" w:hAnsiTheme="majorHAnsi" w:cstheme="majorHAnsi"/>
          <w:lang w:val="en-US"/>
        </w:rPr>
        <w:t>Spratlen; unanimously approved</w:t>
      </w:r>
      <w:r w:rsidR="006E0106">
        <w:rPr>
          <w:rFonts w:asciiTheme="majorHAnsi" w:eastAsia="Times New Roman" w:hAnsiTheme="majorHAnsi" w:cstheme="majorHAnsi"/>
          <w:lang w:val="en-US"/>
        </w:rPr>
        <w:t xml:space="preserve"> with </w:t>
      </w:r>
      <w:r w:rsidR="006E0106">
        <w:rPr>
          <w:rFonts w:asciiTheme="majorHAnsi" w:eastAsia="Times New Roman" w:hAnsiTheme="majorHAnsi" w:cstheme="majorHAnsi"/>
          <w:b/>
          <w:bCs/>
          <w:lang w:val="en-US"/>
        </w:rPr>
        <w:t xml:space="preserve">4 contingencies </w:t>
      </w:r>
      <w:r w:rsidR="006E0106">
        <w:rPr>
          <w:rFonts w:asciiTheme="majorHAnsi" w:eastAsia="Times New Roman" w:hAnsiTheme="majorHAnsi" w:cstheme="majorHAnsi"/>
          <w:lang w:val="en-US"/>
        </w:rPr>
        <w:t xml:space="preserve">(in bold above), </w:t>
      </w:r>
      <w:r w:rsidR="006E0106">
        <w:rPr>
          <w:rFonts w:asciiTheme="majorHAnsi" w:eastAsia="Times New Roman" w:hAnsiTheme="majorHAnsi" w:cstheme="majorHAnsi"/>
          <w:i/>
          <w:iCs/>
          <w:lang w:val="en-US"/>
        </w:rPr>
        <w:t>2 recommendations</w:t>
      </w:r>
      <w:r w:rsidR="006E0106">
        <w:rPr>
          <w:rFonts w:asciiTheme="majorHAnsi" w:eastAsia="Times New Roman" w:hAnsiTheme="majorHAnsi" w:cstheme="majorHAnsi"/>
          <w:lang w:val="en-US"/>
        </w:rPr>
        <w:t xml:space="preserve"> (in italics above,) and 1 comment</w:t>
      </w:r>
    </w:p>
    <w:p w14:paraId="14F00D1D" w14:textId="4850A7F3" w:rsidR="00F75241" w:rsidRDefault="00F75241" w:rsidP="00F75241">
      <w:pPr>
        <w:numPr>
          <w:ilvl w:val="0"/>
          <w:numId w:val="19"/>
        </w:numPr>
        <w:spacing w:line="240" w:lineRule="auto"/>
        <w:rPr>
          <w:rFonts w:asciiTheme="majorHAnsi" w:eastAsia="Times New Roman" w:hAnsiTheme="majorHAnsi" w:cstheme="majorHAnsi"/>
          <w:color w:val="000000"/>
          <w:lang w:val="en-US"/>
        </w:rPr>
      </w:pPr>
      <w:r w:rsidRPr="00F75241">
        <w:rPr>
          <w:rFonts w:asciiTheme="majorHAnsi" w:eastAsia="Times New Roman" w:hAnsiTheme="majorHAnsi" w:cstheme="majorHAnsi"/>
          <w:color w:val="000000"/>
          <w:lang w:val="en-US"/>
        </w:rPr>
        <w:t>EDUT&amp;L 3368 (new course requesting new GE Foundation LVPA and new GE Foundation REGD)</w:t>
      </w:r>
    </w:p>
    <w:p w14:paraId="5947E274" w14:textId="13973A68" w:rsidR="006E0106" w:rsidRDefault="006E0106" w:rsidP="006E010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The Panel found this to be an impressive course whose assignments and content address the REGD category in meaningful ways.  They do note, however, that the course is quite challenging for the GE Foundations level.  </w:t>
      </w:r>
    </w:p>
    <w:p w14:paraId="2BA85E7B" w14:textId="09E75CA0" w:rsidR="006E0106" w:rsidRDefault="006E0106" w:rsidP="006E010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Comment:  The Panel appreciated the section of the syllabus that related this course to other courses, especially courses in other departments (syllabus pg. 3 under “Relation to Other Courses”).</w:t>
      </w:r>
    </w:p>
    <w:p w14:paraId="0BD92C09" w14:textId="31C5AE0F" w:rsidR="006E0106" w:rsidRDefault="006E0106" w:rsidP="006E010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The Panel felt this course could be a good candidate for cross-listing with the Department of African American and African Studies if both departments felt </w:t>
      </w:r>
      <w:r w:rsidR="008C5AD8">
        <w:rPr>
          <w:rFonts w:asciiTheme="majorHAnsi" w:eastAsia="Times New Roman" w:hAnsiTheme="majorHAnsi" w:cstheme="majorHAnsi"/>
          <w:color w:val="000000"/>
          <w:lang w:val="en-US"/>
        </w:rPr>
        <w:t xml:space="preserve">that they </w:t>
      </w:r>
      <w:r>
        <w:rPr>
          <w:rFonts w:asciiTheme="majorHAnsi" w:eastAsia="Times New Roman" w:hAnsiTheme="majorHAnsi" w:cstheme="majorHAnsi"/>
          <w:color w:val="000000"/>
          <w:lang w:val="en-US"/>
        </w:rPr>
        <w:t xml:space="preserve">could benefit </w:t>
      </w:r>
      <w:r w:rsidR="008C5AD8">
        <w:rPr>
          <w:rFonts w:asciiTheme="majorHAnsi" w:eastAsia="Times New Roman" w:hAnsiTheme="majorHAnsi" w:cstheme="majorHAnsi"/>
          <w:color w:val="000000"/>
          <w:lang w:val="en-US"/>
        </w:rPr>
        <w:t>from such an arrangement.</w:t>
      </w:r>
    </w:p>
    <w:p w14:paraId="07B34540" w14:textId="3959FD07" w:rsidR="00AD112C" w:rsidRDefault="00AD112C" w:rsidP="006E010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Comment: The Panel notes that the department may want to communicate with the Registrar’s Office about the pre-requisite listing, as this may be too long to include in the course catalog entry.</w:t>
      </w:r>
    </w:p>
    <w:p w14:paraId="585A55C4" w14:textId="700ADB86" w:rsidR="00410BC2" w:rsidRDefault="00CC1D0A" w:rsidP="00410BC2">
      <w:pPr>
        <w:numPr>
          <w:ilvl w:val="1"/>
          <w:numId w:val="19"/>
        </w:numPr>
        <w:spacing w:line="240" w:lineRule="auto"/>
        <w:rPr>
          <w:rFonts w:asciiTheme="majorHAnsi" w:eastAsia="Times New Roman" w:hAnsiTheme="majorHAnsi" w:cstheme="majorHAnsi"/>
          <w:color w:val="000000"/>
          <w:lang w:val="en-US"/>
        </w:rPr>
      </w:pPr>
      <w:r w:rsidRPr="008C5AD8">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8C5AD8">
        <w:rPr>
          <w:rFonts w:asciiTheme="majorHAnsi" w:eastAsia="Times New Roman" w:hAnsiTheme="majorHAnsi" w:cstheme="majorHAnsi"/>
          <w:color w:val="000000"/>
          <w:lang w:val="en-US"/>
        </w:rPr>
        <w:t>The Panel recommends that the department consider adding a statement to the syllabus with an approximate amount of reading students will be expected to do each week</w:t>
      </w:r>
      <w:r>
        <w:rPr>
          <w:rFonts w:asciiTheme="majorHAnsi" w:eastAsia="Times New Roman" w:hAnsiTheme="majorHAnsi" w:cstheme="majorHAnsi"/>
          <w:color w:val="000000"/>
          <w:lang w:val="en-US"/>
        </w:rPr>
        <w:t>.</w:t>
      </w:r>
      <w:r w:rsidR="008C5AD8">
        <w:rPr>
          <w:rFonts w:asciiTheme="majorHAnsi" w:eastAsia="Times New Roman" w:hAnsiTheme="majorHAnsi" w:cstheme="majorHAnsi"/>
          <w:color w:val="000000"/>
          <w:lang w:val="en-US"/>
        </w:rPr>
        <w:t xml:space="preserve">  While they acknowledge </w:t>
      </w:r>
      <w:r w:rsidR="00AD112C">
        <w:rPr>
          <w:rFonts w:asciiTheme="majorHAnsi" w:eastAsia="Times New Roman" w:hAnsiTheme="majorHAnsi" w:cstheme="majorHAnsi"/>
          <w:color w:val="000000"/>
          <w:lang w:val="en-US"/>
        </w:rPr>
        <w:t>norms surrounding workload</w:t>
      </w:r>
      <w:r w:rsidR="008C5AD8">
        <w:rPr>
          <w:rFonts w:asciiTheme="majorHAnsi" w:eastAsia="Times New Roman" w:hAnsiTheme="majorHAnsi" w:cstheme="majorHAnsi"/>
          <w:color w:val="000000"/>
          <w:lang w:val="en-US"/>
        </w:rPr>
        <w:t xml:space="preserve"> can vary between classes/disciplines, they note that students from outside of the College of Education and Human Ecology who take this course to fulfill a General Education requirement may </w:t>
      </w:r>
      <w:r w:rsidR="001848C1">
        <w:rPr>
          <w:rFonts w:asciiTheme="majorHAnsi" w:eastAsia="Times New Roman" w:hAnsiTheme="majorHAnsi" w:cstheme="majorHAnsi"/>
          <w:color w:val="000000"/>
          <w:lang w:val="en-US"/>
        </w:rPr>
        <w:t xml:space="preserve">be unfamiliar with the norms of the </w:t>
      </w:r>
      <w:proofErr w:type="gramStart"/>
      <w:r w:rsidR="001848C1">
        <w:rPr>
          <w:rFonts w:asciiTheme="majorHAnsi" w:eastAsia="Times New Roman" w:hAnsiTheme="majorHAnsi" w:cstheme="majorHAnsi"/>
          <w:color w:val="000000"/>
          <w:lang w:val="en-US"/>
        </w:rPr>
        <w:t>college, and</w:t>
      </w:r>
      <w:proofErr w:type="gramEnd"/>
      <w:r w:rsidR="001848C1">
        <w:rPr>
          <w:rFonts w:asciiTheme="majorHAnsi" w:eastAsia="Times New Roman" w:hAnsiTheme="majorHAnsi" w:cstheme="majorHAnsi"/>
          <w:color w:val="000000"/>
          <w:lang w:val="en-US"/>
        </w:rPr>
        <w:t xml:space="preserve"> may </w:t>
      </w:r>
      <w:r w:rsidR="00AD112C">
        <w:rPr>
          <w:rFonts w:asciiTheme="majorHAnsi" w:eastAsia="Times New Roman" w:hAnsiTheme="majorHAnsi" w:cstheme="majorHAnsi"/>
          <w:color w:val="000000"/>
          <w:lang w:val="en-US"/>
        </w:rPr>
        <w:t>benefit from a clear statement of expectation.</w:t>
      </w:r>
    </w:p>
    <w:p w14:paraId="2342E809" w14:textId="71E7FFD3" w:rsidR="00AD112C" w:rsidRDefault="00AD112C" w:rsidP="00AD112C">
      <w:pPr>
        <w:numPr>
          <w:ilvl w:val="1"/>
          <w:numId w:val="19"/>
        </w:numPr>
        <w:spacing w:line="240" w:lineRule="auto"/>
        <w:rPr>
          <w:rFonts w:asciiTheme="majorHAnsi" w:eastAsia="Times New Roman" w:hAnsiTheme="majorHAnsi" w:cstheme="majorHAnsi"/>
          <w:color w:val="000000"/>
          <w:lang w:val="en-US"/>
        </w:rPr>
      </w:pPr>
      <w:r w:rsidRPr="0067193E">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w:t>
      </w:r>
      <w:r w:rsidR="00DD1420">
        <w:rPr>
          <w:rFonts w:asciiTheme="majorHAnsi" w:eastAsia="Times New Roman" w:hAnsiTheme="majorHAnsi" w:cstheme="majorHAnsi"/>
          <w:color w:val="000000"/>
          <w:lang w:val="en-US"/>
        </w:rPr>
        <w:t>recommends</w:t>
      </w:r>
      <w:r w:rsidRPr="00421F3B">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7"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10EA3BB1" w14:textId="0B4D3422" w:rsidR="00CC1D0A" w:rsidRDefault="00410BC2" w:rsidP="00CC1D0A">
      <w:pPr>
        <w:numPr>
          <w:ilvl w:val="1"/>
          <w:numId w:val="19"/>
        </w:numPr>
        <w:spacing w:line="240" w:lineRule="auto"/>
        <w:rPr>
          <w:rFonts w:asciiTheme="majorHAnsi" w:eastAsia="Times New Roman" w:hAnsiTheme="majorHAnsi" w:cstheme="majorHAnsi"/>
          <w:lang w:val="en-US"/>
        </w:rPr>
      </w:pPr>
      <w:r w:rsidRPr="00121E0F">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AD112C">
        <w:rPr>
          <w:rFonts w:asciiTheme="majorHAnsi" w:eastAsia="Times New Roman" w:hAnsiTheme="majorHAnsi" w:cstheme="majorHAnsi"/>
          <w:lang w:val="en-US"/>
        </w:rPr>
        <w:t>The Panel recommends that the syllabus be amended to list the correct name of the GE category.  For example, the chart on pg. 2 reads “Foundations G</w:t>
      </w:r>
      <w:r w:rsidR="001848C1">
        <w:rPr>
          <w:rFonts w:asciiTheme="majorHAnsi" w:eastAsia="Times New Roman" w:hAnsiTheme="majorHAnsi" w:cstheme="majorHAnsi"/>
          <w:lang w:val="en-US"/>
        </w:rPr>
        <w:t>E</w:t>
      </w:r>
      <w:r w:rsidR="00AD112C">
        <w:rPr>
          <w:rFonts w:asciiTheme="majorHAnsi" w:eastAsia="Times New Roman" w:hAnsiTheme="majorHAnsi" w:cstheme="majorHAnsi"/>
          <w:lang w:val="en-US"/>
        </w:rPr>
        <w:t xml:space="preserve"> Requirements: Race, Gender, and Ethnicity”, and should read “GE Foundations: Race, Ethnicity and Gender Diversity”.  Additionally, the category is often referenced with the </w:t>
      </w:r>
      <w:r w:rsidR="00631C97">
        <w:rPr>
          <w:rFonts w:asciiTheme="majorHAnsi" w:eastAsia="Times New Roman" w:hAnsiTheme="majorHAnsi" w:cstheme="majorHAnsi"/>
          <w:lang w:val="en-US"/>
        </w:rPr>
        <w:t>abbreviation “RGE” (syllabus pg. 7 under “Presentation Requirements” and syllabus pg. 10-12 under “Sample Course Schedule”</w:t>
      </w:r>
      <w:r w:rsidR="001848C1">
        <w:rPr>
          <w:rFonts w:asciiTheme="majorHAnsi" w:eastAsia="Times New Roman" w:hAnsiTheme="majorHAnsi" w:cstheme="majorHAnsi"/>
          <w:lang w:val="en-US"/>
        </w:rPr>
        <w:t>)</w:t>
      </w:r>
      <w:r w:rsidR="00631C97">
        <w:rPr>
          <w:rFonts w:asciiTheme="majorHAnsi" w:eastAsia="Times New Roman" w:hAnsiTheme="majorHAnsi" w:cstheme="majorHAnsi"/>
          <w:lang w:val="en-US"/>
        </w:rPr>
        <w:t>.</w:t>
      </w:r>
      <w:r w:rsidR="001848C1">
        <w:rPr>
          <w:rFonts w:asciiTheme="majorHAnsi" w:eastAsia="Times New Roman" w:hAnsiTheme="majorHAnsi" w:cstheme="majorHAnsi"/>
          <w:lang w:val="en-US"/>
        </w:rPr>
        <w:t xml:space="preserve">  The suggested abbreviation is “REGD”.</w:t>
      </w:r>
    </w:p>
    <w:p w14:paraId="458EC9F6" w14:textId="3E62E07C" w:rsidR="007119A4" w:rsidRPr="00410BC2" w:rsidRDefault="007119A4" w:rsidP="002D4812">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Abrams; unanimously approved with </w:t>
      </w:r>
      <w:r w:rsidR="00121E0F">
        <w:rPr>
          <w:rFonts w:asciiTheme="majorHAnsi" w:eastAsia="Times New Roman" w:hAnsiTheme="majorHAnsi" w:cstheme="majorHAnsi"/>
          <w:i/>
          <w:iCs/>
          <w:lang w:val="en-US"/>
        </w:rPr>
        <w:t>3 recommendations</w:t>
      </w:r>
      <w:r w:rsidR="00121E0F">
        <w:rPr>
          <w:rFonts w:asciiTheme="majorHAnsi" w:eastAsia="Times New Roman" w:hAnsiTheme="majorHAnsi" w:cstheme="majorHAnsi"/>
          <w:lang w:val="en-US"/>
        </w:rPr>
        <w:t xml:space="preserve"> (in italics above)</w:t>
      </w:r>
      <w:r>
        <w:rPr>
          <w:rFonts w:asciiTheme="majorHAnsi" w:eastAsia="Times New Roman" w:hAnsiTheme="majorHAnsi" w:cstheme="majorHAnsi"/>
          <w:lang w:val="en-US"/>
        </w:rPr>
        <w:t xml:space="preserve"> and </w:t>
      </w:r>
      <w:r w:rsidR="00121E0F">
        <w:rPr>
          <w:rFonts w:asciiTheme="majorHAnsi" w:eastAsia="Times New Roman" w:hAnsiTheme="majorHAnsi" w:cstheme="majorHAnsi"/>
          <w:lang w:val="en-US"/>
        </w:rPr>
        <w:t xml:space="preserve">4 </w:t>
      </w:r>
      <w:r>
        <w:rPr>
          <w:rFonts w:asciiTheme="majorHAnsi" w:eastAsia="Times New Roman" w:hAnsiTheme="majorHAnsi" w:cstheme="majorHAnsi"/>
          <w:lang w:val="en-US"/>
        </w:rPr>
        <w:t>comments</w:t>
      </w:r>
    </w:p>
    <w:p w14:paraId="5833C276" w14:textId="305951E2" w:rsidR="00F75241" w:rsidRDefault="00F75241" w:rsidP="00F75241">
      <w:pPr>
        <w:numPr>
          <w:ilvl w:val="0"/>
          <w:numId w:val="19"/>
        </w:numPr>
        <w:spacing w:line="240" w:lineRule="auto"/>
        <w:rPr>
          <w:rFonts w:asciiTheme="majorHAnsi" w:eastAsia="Times New Roman" w:hAnsiTheme="majorHAnsi" w:cstheme="majorHAnsi"/>
          <w:color w:val="000000"/>
          <w:lang w:val="en-US"/>
        </w:rPr>
      </w:pPr>
      <w:r w:rsidRPr="00F75241">
        <w:rPr>
          <w:rFonts w:asciiTheme="majorHAnsi" w:eastAsia="Times New Roman" w:hAnsiTheme="majorHAnsi" w:cstheme="majorHAnsi"/>
          <w:color w:val="000000"/>
          <w:lang w:val="en-US"/>
        </w:rPr>
        <w:t>SASIA 2230 (new course; requesting new GE Foundation: REGD)</w:t>
      </w:r>
    </w:p>
    <w:p w14:paraId="6DA71B33" w14:textId="0CF16BA1" w:rsidR="009A14FB" w:rsidRDefault="009A14FB" w:rsidP="009A14F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Comment: The Panel would like to commend the department on a well-designed and compelling course that centers South Asian representation.</w:t>
      </w:r>
    </w:p>
    <w:p w14:paraId="341031B9" w14:textId="1A01F98B" w:rsidR="008443A9" w:rsidRDefault="008443A9" w:rsidP="008443A9">
      <w:pPr>
        <w:numPr>
          <w:ilvl w:val="1"/>
          <w:numId w:val="19"/>
        </w:numPr>
        <w:spacing w:line="240" w:lineRule="auto"/>
        <w:rPr>
          <w:rFonts w:asciiTheme="majorHAnsi" w:eastAsia="Times New Roman" w:hAnsiTheme="majorHAnsi" w:cstheme="majorHAnsi"/>
          <w:color w:val="000000"/>
          <w:lang w:val="en-US"/>
        </w:rPr>
      </w:pPr>
      <w:r w:rsidRPr="001130D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1130D4">
        <w:rPr>
          <w:rFonts w:asciiTheme="majorHAnsi" w:eastAsia="Times New Roman" w:hAnsiTheme="majorHAnsi" w:cstheme="majorHAnsi"/>
          <w:color w:val="000000"/>
          <w:lang w:val="en-US"/>
        </w:rPr>
        <w:t>The Panel recommends that the department correct the name of the GE category to read “GE Foundations: Race, Ethnicity, and Gender Diversity” (syllabus pg. 2. under “GE Goals and Outcomes”).</w:t>
      </w:r>
    </w:p>
    <w:p w14:paraId="2C67947A" w14:textId="72E0ACFD" w:rsidR="008443A9" w:rsidRPr="008443A9" w:rsidRDefault="008443A9" w:rsidP="008443A9">
      <w:pPr>
        <w:numPr>
          <w:ilvl w:val="1"/>
          <w:numId w:val="19"/>
        </w:numPr>
        <w:spacing w:line="240" w:lineRule="auto"/>
        <w:rPr>
          <w:rFonts w:asciiTheme="majorHAnsi" w:eastAsia="Times New Roman" w:hAnsiTheme="majorHAnsi" w:cstheme="majorHAnsi"/>
          <w:color w:val="000000"/>
          <w:lang w:val="en-US"/>
        </w:rPr>
      </w:pPr>
      <w:r w:rsidRPr="001130D4">
        <w:rPr>
          <w:rFonts w:asciiTheme="majorHAnsi" w:eastAsia="Times New Roman" w:hAnsiTheme="majorHAnsi" w:cstheme="majorHAnsi"/>
          <w:i/>
          <w:iCs/>
          <w:color w:val="000000"/>
          <w:lang w:val="en-US"/>
        </w:rPr>
        <w:t>Recommendation</w:t>
      </w:r>
      <w:r w:rsidR="001130D4">
        <w:rPr>
          <w:rFonts w:asciiTheme="majorHAnsi" w:eastAsia="Times New Roman" w:hAnsiTheme="majorHAnsi" w:cstheme="majorHAnsi"/>
          <w:color w:val="000000"/>
          <w:lang w:val="en-US"/>
        </w:rPr>
        <w:t>: The Panel recommends that the department include more of th</w:t>
      </w:r>
      <w:r w:rsidR="009A14FB">
        <w:rPr>
          <w:rFonts w:asciiTheme="majorHAnsi" w:eastAsia="Times New Roman" w:hAnsiTheme="majorHAnsi" w:cstheme="majorHAnsi"/>
          <w:color w:val="000000"/>
          <w:lang w:val="en-US"/>
        </w:rPr>
        <w:t>e language present in the GE Proposal Form in the syllabus so that students understand a little more clearly how the course is centered around REGD issues.</w:t>
      </w:r>
      <w:r w:rsidR="001130D4">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 xml:space="preserve"> </w:t>
      </w:r>
    </w:p>
    <w:p w14:paraId="467DF9F8" w14:textId="27045A58" w:rsidR="008443A9" w:rsidRDefault="008443A9" w:rsidP="007119A4">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Ponce, Price-Spratlen; unanimously approved with </w:t>
      </w:r>
      <w:r w:rsidRPr="009A14FB">
        <w:rPr>
          <w:rFonts w:asciiTheme="majorHAnsi" w:eastAsia="Times New Roman" w:hAnsiTheme="majorHAnsi" w:cstheme="majorHAnsi"/>
          <w:i/>
          <w:iCs/>
          <w:color w:val="000000"/>
          <w:lang w:val="en-US"/>
        </w:rPr>
        <w:t>two recommendations</w:t>
      </w:r>
      <w:r w:rsidR="009A14FB">
        <w:rPr>
          <w:rFonts w:asciiTheme="majorHAnsi" w:eastAsia="Times New Roman" w:hAnsiTheme="majorHAnsi" w:cstheme="majorHAnsi"/>
          <w:color w:val="000000"/>
          <w:lang w:val="en-US"/>
        </w:rPr>
        <w:t xml:space="preserve"> (in italics above).</w:t>
      </w:r>
    </w:p>
    <w:p w14:paraId="777F12D0" w14:textId="1C9FFBC0" w:rsidR="00476453" w:rsidRDefault="00F75241" w:rsidP="00476453">
      <w:pPr>
        <w:numPr>
          <w:ilvl w:val="0"/>
          <w:numId w:val="19"/>
        </w:numPr>
        <w:spacing w:line="240" w:lineRule="auto"/>
        <w:rPr>
          <w:rFonts w:asciiTheme="majorHAnsi" w:eastAsia="Times New Roman" w:hAnsiTheme="majorHAnsi" w:cstheme="majorHAnsi"/>
          <w:color w:val="000000"/>
          <w:lang w:val="en-US"/>
        </w:rPr>
      </w:pPr>
      <w:r w:rsidRPr="00F75241">
        <w:rPr>
          <w:rFonts w:asciiTheme="majorHAnsi" w:eastAsia="Times New Roman" w:hAnsiTheme="majorHAnsi" w:cstheme="majorHAnsi"/>
          <w:color w:val="000000"/>
          <w:lang w:val="en-US"/>
        </w:rPr>
        <w:t>Public Affairs 2170 (new course; requesting new GE Foundation: REGD)</w:t>
      </w:r>
    </w:p>
    <w:p w14:paraId="4089A381" w14:textId="259814F2" w:rsidR="003F2B57" w:rsidRDefault="003F2B57" w:rsidP="003F2B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The Panel would like to express their support for this course, and they look forward to working with the </w:t>
      </w:r>
      <w:r w:rsidR="00DD1420">
        <w:rPr>
          <w:rFonts w:asciiTheme="majorHAnsi" w:eastAsia="Times New Roman" w:hAnsiTheme="majorHAnsi" w:cstheme="majorHAnsi"/>
          <w:color w:val="000000"/>
          <w:lang w:val="en-US"/>
        </w:rPr>
        <w:t xml:space="preserve">college </w:t>
      </w:r>
      <w:r>
        <w:rPr>
          <w:rFonts w:asciiTheme="majorHAnsi" w:eastAsia="Times New Roman" w:hAnsiTheme="majorHAnsi" w:cstheme="majorHAnsi"/>
          <w:color w:val="000000"/>
          <w:lang w:val="en-US"/>
        </w:rPr>
        <w:t>to help them meet the contingencies for full approval.</w:t>
      </w:r>
    </w:p>
    <w:p w14:paraId="6383406D" w14:textId="5A5E85EA" w:rsidR="00E14ECD" w:rsidRDefault="00E14ECD" w:rsidP="00E14ECD">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 xml:space="preserve">Contingency: </w:t>
      </w:r>
      <w:r>
        <w:rPr>
          <w:rFonts w:asciiTheme="majorHAnsi" w:eastAsia="Times New Roman" w:hAnsiTheme="majorHAnsi" w:cstheme="majorHAnsi"/>
          <w:color w:val="000000"/>
          <w:lang w:val="en-US"/>
        </w:rPr>
        <w:t xml:space="preserve">The Panel commends the </w:t>
      </w:r>
      <w:r w:rsidR="00DD1420">
        <w:rPr>
          <w:rFonts w:asciiTheme="majorHAnsi" w:eastAsia="Times New Roman" w:hAnsiTheme="majorHAnsi" w:cstheme="majorHAnsi"/>
          <w:color w:val="000000"/>
          <w:lang w:val="en-US"/>
        </w:rPr>
        <w:t>John Glenn College</w:t>
      </w:r>
      <w:r>
        <w:rPr>
          <w:rFonts w:asciiTheme="majorHAnsi" w:eastAsia="Times New Roman" w:hAnsiTheme="majorHAnsi" w:cstheme="majorHAnsi"/>
          <w:color w:val="000000"/>
          <w:lang w:val="en-US"/>
        </w:rPr>
        <w:t xml:space="preserve"> for foregrounding intersectionality (they especially appreciate the Crenshaw video at the beginning of the course,) but they would like to see intersectionality and other foundational concepts of race, ethnicity, and gender diversity interwoven throughout the course.  While the panel </w:t>
      </w:r>
      <w:r>
        <w:rPr>
          <w:rFonts w:asciiTheme="majorHAnsi" w:eastAsia="Times New Roman" w:hAnsiTheme="majorHAnsi" w:cstheme="majorHAnsi"/>
          <w:color w:val="000000"/>
          <w:lang w:val="en-US"/>
        </w:rPr>
        <w:lastRenderedPageBreak/>
        <w:t xml:space="preserve">understands that this is a course about public policy, </w:t>
      </w:r>
      <w:r w:rsidR="003F2B57">
        <w:rPr>
          <w:rFonts w:asciiTheme="majorHAnsi" w:eastAsia="Times New Roman" w:hAnsiTheme="majorHAnsi" w:cstheme="majorHAnsi"/>
          <w:color w:val="000000"/>
          <w:lang w:val="en-US"/>
        </w:rPr>
        <w:t>they feel that the</w:t>
      </w:r>
      <w:r>
        <w:rPr>
          <w:rFonts w:asciiTheme="majorHAnsi" w:eastAsia="Times New Roman" w:hAnsiTheme="majorHAnsi" w:cstheme="majorHAnsi"/>
          <w:color w:val="000000"/>
          <w:lang w:val="en-US"/>
        </w:rPr>
        <w:t xml:space="preserve"> broad, foundational REGD elements are sometimes buried too deeply within the disciplinary context.  </w:t>
      </w:r>
      <w:r w:rsidR="003F2B57">
        <w:rPr>
          <w:rFonts w:asciiTheme="majorHAnsi" w:eastAsia="Times New Roman" w:hAnsiTheme="majorHAnsi" w:cstheme="majorHAnsi"/>
          <w:color w:val="000000"/>
          <w:lang w:val="en-US"/>
        </w:rPr>
        <w:t xml:space="preserve">The Panel does note the presence of REGD concepts in the </w:t>
      </w:r>
      <w:proofErr w:type="gramStart"/>
      <w:r w:rsidR="003F2B57">
        <w:rPr>
          <w:rFonts w:asciiTheme="majorHAnsi" w:eastAsia="Times New Roman" w:hAnsiTheme="majorHAnsi" w:cstheme="majorHAnsi"/>
          <w:color w:val="000000"/>
          <w:lang w:val="en-US"/>
        </w:rPr>
        <w:t>assignments, but</w:t>
      </w:r>
      <w:proofErr w:type="gramEnd"/>
      <w:r w:rsidR="003F2B57">
        <w:rPr>
          <w:rFonts w:asciiTheme="majorHAnsi" w:eastAsia="Times New Roman" w:hAnsiTheme="majorHAnsi" w:cstheme="majorHAnsi"/>
          <w:color w:val="000000"/>
          <w:lang w:val="en-US"/>
        </w:rPr>
        <w:t xml:space="preserve"> would also like to see how those concepts are put forth </w:t>
      </w:r>
      <w:r w:rsidR="003F2B57">
        <w:rPr>
          <w:rFonts w:asciiTheme="majorHAnsi" w:eastAsia="Times New Roman" w:hAnsiTheme="majorHAnsi" w:cstheme="majorHAnsi"/>
          <w:i/>
          <w:iCs/>
          <w:color w:val="000000"/>
          <w:lang w:val="en-US"/>
        </w:rPr>
        <w:t xml:space="preserve">to </w:t>
      </w:r>
      <w:r w:rsidR="003F2B57">
        <w:rPr>
          <w:rFonts w:asciiTheme="majorHAnsi" w:eastAsia="Times New Roman" w:hAnsiTheme="majorHAnsi" w:cstheme="majorHAnsi"/>
          <w:color w:val="000000"/>
          <w:lang w:val="en-US"/>
        </w:rPr>
        <w:t xml:space="preserve">students in readings and other instructional materials. They note that including more scholarly voices from outside the field of public policy may be helpful in meeting this </w:t>
      </w:r>
      <w:proofErr w:type="gramStart"/>
      <w:r w:rsidR="003F2B57">
        <w:rPr>
          <w:rFonts w:asciiTheme="majorHAnsi" w:eastAsia="Times New Roman" w:hAnsiTheme="majorHAnsi" w:cstheme="majorHAnsi"/>
          <w:color w:val="000000"/>
          <w:lang w:val="en-US"/>
        </w:rPr>
        <w:t>contingency, and</w:t>
      </w:r>
      <w:proofErr w:type="gramEnd"/>
      <w:r w:rsidR="003F2B57">
        <w:rPr>
          <w:rFonts w:asciiTheme="majorHAnsi" w:eastAsia="Times New Roman" w:hAnsiTheme="majorHAnsi" w:cstheme="majorHAnsi"/>
          <w:color w:val="000000"/>
          <w:lang w:val="en-US"/>
        </w:rPr>
        <w:t xml:space="preserve"> encourage the </w:t>
      </w:r>
      <w:r w:rsidR="00DD1420">
        <w:rPr>
          <w:rFonts w:asciiTheme="majorHAnsi" w:eastAsia="Times New Roman" w:hAnsiTheme="majorHAnsi" w:cstheme="majorHAnsi"/>
          <w:color w:val="000000"/>
          <w:lang w:val="en-US"/>
        </w:rPr>
        <w:t xml:space="preserve">college </w:t>
      </w:r>
      <w:r w:rsidR="003F2B57">
        <w:rPr>
          <w:rFonts w:asciiTheme="majorHAnsi" w:eastAsia="Times New Roman" w:hAnsiTheme="majorHAnsi" w:cstheme="majorHAnsi"/>
          <w:color w:val="000000"/>
          <w:lang w:val="en-US"/>
        </w:rPr>
        <w:t>to include more of the material from the GE Proposal Form in the syllabus.</w:t>
      </w:r>
    </w:p>
    <w:p w14:paraId="73A1DBC2" w14:textId="37BCC01D" w:rsidR="009A14FB" w:rsidRDefault="009A14FB" w:rsidP="006C575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 xml:space="preserve">Contingency: </w:t>
      </w:r>
      <w:r>
        <w:rPr>
          <w:rFonts w:asciiTheme="majorHAnsi" w:eastAsia="Times New Roman" w:hAnsiTheme="majorHAnsi" w:cstheme="majorHAnsi"/>
          <w:color w:val="000000"/>
          <w:lang w:val="en-US"/>
        </w:rPr>
        <w:t xml:space="preserve">The Panel asks that the </w:t>
      </w:r>
      <w:r w:rsidR="00DD1420">
        <w:rPr>
          <w:rFonts w:asciiTheme="majorHAnsi" w:eastAsia="Times New Roman" w:hAnsiTheme="majorHAnsi" w:cstheme="majorHAnsi"/>
          <w:color w:val="000000"/>
          <w:lang w:val="en-US"/>
        </w:rPr>
        <w:t xml:space="preserve">John Glenn College </w:t>
      </w:r>
      <w:r>
        <w:rPr>
          <w:rFonts w:asciiTheme="majorHAnsi" w:eastAsia="Times New Roman" w:hAnsiTheme="majorHAnsi" w:cstheme="majorHAnsi"/>
          <w:color w:val="000000"/>
          <w:lang w:val="en-US"/>
        </w:rPr>
        <w:t xml:space="preserve">include a statement about how this particular class meets the Goals and ELOs of the REGD GE category (syllabus pg. 2, following </w:t>
      </w:r>
      <w:r w:rsidR="007447A6">
        <w:rPr>
          <w:rFonts w:asciiTheme="majorHAnsi" w:eastAsia="Times New Roman" w:hAnsiTheme="majorHAnsi" w:cstheme="majorHAnsi"/>
          <w:color w:val="000000"/>
          <w:lang w:val="en-US"/>
        </w:rPr>
        <w:t>the Goals and ELOs)</w:t>
      </w:r>
      <w:r>
        <w:rPr>
          <w:rFonts w:asciiTheme="majorHAnsi" w:eastAsia="Times New Roman" w:hAnsiTheme="majorHAnsi" w:cstheme="majorHAnsi"/>
          <w:color w:val="000000"/>
          <w:lang w:val="en-US"/>
        </w:rPr>
        <w:t xml:space="preserve"> as required by the ASC Curriculum Committee (</w:t>
      </w:r>
      <w:r w:rsidR="007447A6">
        <w:rPr>
          <w:rFonts w:asciiTheme="majorHAnsi" w:eastAsia="Times New Roman" w:hAnsiTheme="majorHAnsi" w:cstheme="majorHAnsi"/>
          <w:color w:val="000000"/>
          <w:lang w:val="en-US"/>
        </w:rPr>
        <w:t xml:space="preserve">ASCC </w:t>
      </w:r>
      <w:r>
        <w:rPr>
          <w:rFonts w:asciiTheme="majorHAnsi" w:eastAsia="Times New Roman" w:hAnsiTheme="majorHAnsi" w:cstheme="majorHAnsi"/>
          <w:color w:val="000000"/>
          <w:lang w:val="en-US"/>
        </w:rPr>
        <w:t xml:space="preserve">syllabus requirements can be found here: </w:t>
      </w:r>
      <w:hyperlink r:id="rId8" w:history="1">
        <w:r w:rsidR="003F2B57" w:rsidRPr="00F21846">
          <w:rPr>
            <w:rStyle w:val="Hyperlink"/>
            <w:rFonts w:asciiTheme="majorHAnsi" w:eastAsia="Times New Roman" w:hAnsiTheme="majorHAnsi" w:cstheme="majorHAnsi"/>
            <w:lang w:val="en-US"/>
          </w:rPr>
          <w:t>https://asccas.osu.edu/curriculum/syllabus-elements</w:t>
        </w:r>
      </w:hyperlink>
      <w:r w:rsidR="003F2B57">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w:t>
      </w:r>
    </w:p>
    <w:p w14:paraId="653009EB" w14:textId="786CE1C8" w:rsidR="009A14FB" w:rsidRDefault="007447A6" w:rsidP="006C575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 xml:space="preserve">The Panel Recommends that the </w:t>
      </w:r>
      <w:r w:rsidR="00DD1420">
        <w:rPr>
          <w:rFonts w:asciiTheme="majorHAnsi" w:eastAsia="Times New Roman" w:hAnsiTheme="majorHAnsi" w:cstheme="majorHAnsi"/>
          <w:color w:val="000000"/>
          <w:lang w:val="en-US"/>
        </w:rPr>
        <w:t>college</w:t>
      </w:r>
      <w:r>
        <w:rPr>
          <w:rFonts w:asciiTheme="majorHAnsi" w:eastAsia="Times New Roman" w:hAnsiTheme="majorHAnsi" w:cstheme="majorHAnsi"/>
          <w:color w:val="000000"/>
          <w:lang w:val="en-US"/>
        </w:rPr>
        <w:t xml:space="preserve"> correct the name of the GE category to read “GE Foundations: Race, Ethnicity and Gender Diversity” (syllabus pg. 2 under “GE Goals and Objectives”).</w:t>
      </w:r>
    </w:p>
    <w:p w14:paraId="2C91BAF0" w14:textId="1FFCDD1E" w:rsidR="007447A6" w:rsidRDefault="007447A6" w:rsidP="007447A6">
      <w:pPr>
        <w:numPr>
          <w:ilvl w:val="1"/>
          <w:numId w:val="19"/>
        </w:numPr>
        <w:spacing w:line="240" w:lineRule="auto"/>
        <w:rPr>
          <w:rFonts w:asciiTheme="majorHAnsi" w:eastAsia="Times New Roman" w:hAnsiTheme="majorHAnsi" w:cstheme="majorHAnsi"/>
          <w:color w:val="000000"/>
          <w:lang w:val="en-US"/>
        </w:rPr>
      </w:pPr>
      <w:r w:rsidRPr="0067193E">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w:t>
      </w:r>
      <w:r w:rsidR="00DD1420">
        <w:rPr>
          <w:rFonts w:asciiTheme="majorHAnsi" w:eastAsia="Times New Roman" w:hAnsiTheme="majorHAnsi" w:cstheme="majorHAnsi"/>
          <w:color w:val="000000"/>
          <w:lang w:val="en-US"/>
        </w:rPr>
        <w:t>recommends</w:t>
      </w:r>
      <w:r w:rsidRPr="00421F3B">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9"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43A00B69" w14:textId="322FFD0A" w:rsidR="009A14FB" w:rsidRPr="00E14ECD" w:rsidRDefault="007447A6" w:rsidP="00E14ECD">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 xml:space="preserve">The Panel recommends that the </w:t>
      </w:r>
      <w:r w:rsidR="00DD1420">
        <w:rPr>
          <w:rFonts w:asciiTheme="majorHAnsi" w:eastAsia="Times New Roman" w:hAnsiTheme="majorHAnsi" w:cstheme="majorHAnsi"/>
          <w:color w:val="000000"/>
          <w:lang w:val="en-US"/>
        </w:rPr>
        <w:t>college</w:t>
      </w:r>
      <w:r>
        <w:rPr>
          <w:rFonts w:asciiTheme="majorHAnsi" w:eastAsia="Times New Roman" w:hAnsiTheme="majorHAnsi" w:cstheme="majorHAnsi"/>
          <w:color w:val="000000"/>
          <w:lang w:val="en-US"/>
        </w:rPr>
        <w:t xml:space="preserve"> remove the mention of a Final Exam (syllabus pg. 12 under “Course Schedule) as the Course Assignments/Grading Breakdown (syllabus pg. 2-5) do not indicate any exams</w:t>
      </w:r>
    </w:p>
    <w:p w14:paraId="2D137599" w14:textId="697F1C3B" w:rsidR="00A579B8" w:rsidRPr="009A14FB" w:rsidRDefault="006C5756" w:rsidP="009A14FB">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Abrams, Ponce; unanimously approved with </w:t>
      </w:r>
      <w:r w:rsidR="007447A6">
        <w:rPr>
          <w:rFonts w:asciiTheme="majorHAnsi" w:eastAsia="Times New Roman" w:hAnsiTheme="majorHAnsi" w:cstheme="majorHAnsi"/>
          <w:b/>
          <w:bCs/>
          <w:lang w:val="en-US"/>
        </w:rPr>
        <w:t xml:space="preserve">2 Contingencies </w:t>
      </w:r>
      <w:r w:rsidR="007447A6">
        <w:rPr>
          <w:rFonts w:asciiTheme="majorHAnsi" w:eastAsia="Times New Roman" w:hAnsiTheme="majorHAnsi" w:cstheme="majorHAnsi"/>
          <w:lang w:val="en-US"/>
        </w:rPr>
        <w:t xml:space="preserve">(in bold above,) and </w:t>
      </w:r>
      <w:r w:rsidR="007447A6">
        <w:rPr>
          <w:rFonts w:asciiTheme="majorHAnsi" w:eastAsia="Times New Roman" w:hAnsiTheme="majorHAnsi" w:cstheme="majorHAnsi"/>
          <w:i/>
          <w:iCs/>
          <w:lang w:val="en-US"/>
        </w:rPr>
        <w:t xml:space="preserve">3 recommendations </w:t>
      </w:r>
      <w:r w:rsidR="007447A6">
        <w:rPr>
          <w:rFonts w:asciiTheme="majorHAnsi" w:eastAsia="Times New Roman" w:hAnsiTheme="majorHAnsi" w:cstheme="majorHAnsi"/>
          <w:lang w:val="en-US"/>
        </w:rPr>
        <w:t>(in italics above)</w:t>
      </w:r>
      <w:r w:rsidR="003F2B57">
        <w:rPr>
          <w:rFonts w:asciiTheme="majorHAnsi" w:eastAsia="Times New Roman" w:hAnsiTheme="majorHAnsi" w:cstheme="majorHAnsi"/>
          <w:lang w:val="en-US"/>
        </w:rPr>
        <w:t xml:space="preserve"> and 1 comment.</w:t>
      </w:r>
    </w:p>
    <w:sectPr w:rsidR="00A579B8" w:rsidRPr="009A14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4"/>
  </w:num>
  <w:num w:numId="4">
    <w:abstractNumId w:val="18"/>
  </w:num>
  <w:num w:numId="5">
    <w:abstractNumId w:val="10"/>
  </w:num>
  <w:num w:numId="6">
    <w:abstractNumId w:val="19"/>
  </w:num>
  <w:num w:numId="7">
    <w:abstractNumId w:val="13"/>
  </w:num>
  <w:num w:numId="8">
    <w:abstractNumId w:val="14"/>
  </w:num>
  <w:num w:numId="9">
    <w:abstractNumId w:val="9"/>
  </w:num>
  <w:num w:numId="10">
    <w:abstractNumId w:val="11"/>
  </w:num>
  <w:num w:numId="11">
    <w:abstractNumId w:val="21"/>
  </w:num>
  <w:num w:numId="12">
    <w:abstractNumId w:val="20"/>
  </w:num>
  <w:num w:numId="13">
    <w:abstractNumId w:val="8"/>
  </w:num>
  <w:num w:numId="14">
    <w:abstractNumId w:val="2"/>
  </w:num>
  <w:num w:numId="15">
    <w:abstractNumId w:val="15"/>
  </w:num>
  <w:num w:numId="16">
    <w:abstractNumId w:val="5"/>
  </w:num>
  <w:num w:numId="17">
    <w:abstractNumId w:val="1"/>
  </w:num>
  <w:num w:numId="18">
    <w:abstractNumId w:val="16"/>
  </w:num>
  <w:num w:numId="19">
    <w:abstractNumId w:val="17"/>
  </w:num>
  <w:num w:numId="20">
    <w:abstractNumId w:val="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46DA"/>
    <w:rsid w:val="000003E6"/>
    <w:rsid w:val="000245AB"/>
    <w:rsid w:val="00040B37"/>
    <w:rsid w:val="00046704"/>
    <w:rsid w:val="00052768"/>
    <w:rsid w:val="000530A1"/>
    <w:rsid w:val="00053951"/>
    <w:rsid w:val="000541C4"/>
    <w:rsid w:val="000618EE"/>
    <w:rsid w:val="000756F9"/>
    <w:rsid w:val="00076C0C"/>
    <w:rsid w:val="00097FEB"/>
    <w:rsid w:val="000A0884"/>
    <w:rsid w:val="000B145A"/>
    <w:rsid w:val="000B6A14"/>
    <w:rsid w:val="000D534F"/>
    <w:rsid w:val="000E32E8"/>
    <w:rsid w:val="00100007"/>
    <w:rsid w:val="00104395"/>
    <w:rsid w:val="00110A89"/>
    <w:rsid w:val="00112CD4"/>
    <w:rsid w:val="001130D4"/>
    <w:rsid w:val="00113F55"/>
    <w:rsid w:val="0011528C"/>
    <w:rsid w:val="001162E3"/>
    <w:rsid w:val="00121E0F"/>
    <w:rsid w:val="00127333"/>
    <w:rsid w:val="00150A54"/>
    <w:rsid w:val="00172A72"/>
    <w:rsid w:val="001848C1"/>
    <w:rsid w:val="00193AF0"/>
    <w:rsid w:val="001E05E0"/>
    <w:rsid w:val="001E63AD"/>
    <w:rsid w:val="001F4F08"/>
    <w:rsid w:val="00201171"/>
    <w:rsid w:val="00201A42"/>
    <w:rsid w:val="00225131"/>
    <w:rsid w:val="002518FD"/>
    <w:rsid w:val="00256181"/>
    <w:rsid w:val="002657CF"/>
    <w:rsid w:val="00272F0D"/>
    <w:rsid w:val="002833D3"/>
    <w:rsid w:val="00283A08"/>
    <w:rsid w:val="0029103A"/>
    <w:rsid w:val="002953A3"/>
    <w:rsid w:val="002A547A"/>
    <w:rsid w:val="002D4806"/>
    <w:rsid w:val="002D4812"/>
    <w:rsid w:val="002F7165"/>
    <w:rsid w:val="00335F0E"/>
    <w:rsid w:val="003454C8"/>
    <w:rsid w:val="003541A9"/>
    <w:rsid w:val="003559DE"/>
    <w:rsid w:val="00357E17"/>
    <w:rsid w:val="003E5DC5"/>
    <w:rsid w:val="003F2B57"/>
    <w:rsid w:val="004048C2"/>
    <w:rsid w:val="00407962"/>
    <w:rsid w:val="00410BC2"/>
    <w:rsid w:val="004141B5"/>
    <w:rsid w:val="00432D1B"/>
    <w:rsid w:val="00433D2C"/>
    <w:rsid w:val="0043509F"/>
    <w:rsid w:val="00437942"/>
    <w:rsid w:val="0044143D"/>
    <w:rsid w:val="0044657D"/>
    <w:rsid w:val="0046427C"/>
    <w:rsid w:val="00466D00"/>
    <w:rsid w:val="004746DA"/>
    <w:rsid w:val="00476453"/>
    <w:rsid w:val="004802EE"/>
    <w:rsid w:val="00490C21"/>
    <w:rsid w:val="00491307"/>
    <w:rsid w:val="004972FB"/>
    <w:rsid w:val="004A0C18"/>
    <w:rsid w:val="004D0568"/>
    <w:rsid w:val="004F7184"/>
    <w:rsid w:val="00514B3A"/>
    <w:rsid w:val="00524B8B"/>
    <w:rsid w:val="005375A7"/>
    <w:rsid w:val="005513C3"/>
    <w:rsid w:val="00553202"/>
    <w:rsid w:val="0056301E"/>
    <w:rsid w:val="00563ABE"/>
    <w:rsid w:val="00585DFC"/>
    <w:rsid w:val="005B2375"/>
    <w:rsid w:val="005E4B50"/>
    <w:rsid w:val="006011F5"/>
    <w:rsid w:val="0061445D"/>
    <w:rsid w:val="006277A3"/>
    <w:rsid w:val="00631C97"/>
    <w:rsid w:val="00656078"/>
    <w:rsid w:val="0067193E"/>
    <w:rsid w:val="00682F29"/>
    <w:rsid w:val="0069459B"/>
    <w:rsid w:val="006958B6"/>
    <w:rsid w:val="006A4F59"/>
    <w:rsid w:val="006B5482"/>
    <w:rsid w:val="006C5756"/>
    <w:rsid w:val="006D3D24"/>
    <w:rsid w:val="006E0106"/>
    <w:rsid w:val="007119A4"/>
    <w:rsid w:val="00724A6F"/>
    <w:rsid w:val="00740A4A"/>
    <w:rsid w:val="007447A6"/>
    <w:rsid w:val="00744E1F"/>
    <w:rsid w:val="00762426"/>
    <w:rsid w:val="00776791"/>
    <w:rsid w:val="007869DF"/>
    <w:rsid w:val="00794B64"/>
    <w:rsid w:val="007B032F"/>
    <w:rsid w:val="007B2366"/>
    <w:rsid w:val="007E1160"/>
    <w:rsid w:val="0080062C"/>
    <w:rsid w:val="008176F9"/>
    <w:rsid w:val="00825698"/>
    <w:rsid w:val="00833872"/>
    <w:rsid w:val="00834513"/>
    <w:rsid w:val="008443A9"/>
    <w:rsid w:val="00857510"/>
    <w:rsid w:val="008C1FA9"/>
    <w:rsid w:val="008C5AD8"/>
    <w:rsid w:val="008F356B"/>
    <w:rsid w:val="009177DF"/>
    <w:rsid w:val="00920093"/>
    <w:rsid w:val="00942194"/>
    <w:rsid w:val="009453E2"/>
    <w:rsid w:val="009608F4"/>
    <w:rsid w:val="00983802"/>
    <w:rsid w:val="00997A7B"/>
    <w:rsid w:val="009A14FB"/>
    <w:rsid w:val="009D337C"/>
    <w:rsid w:val="009E105F"/>
    <w:rsid w:val="009F384C"/>
    <w:rsid w:val="00A03BF2"/>
    <w:rsid w:val="00A20CFE"/>
    <w:rsid w:val="00A43CEB"/>
    <w:rsid w:val="00A579B8"/>
    <w:rsid w:val="00A632AD"/>
    <w:rsid w:val="00A67324"/>
    <w:rsid w:val="00AC0554"/>
    <w:rsid w:val="00AC7B1F"/>
    <w:rsid w:val="00AD112C"/>
    <w:rsid w:val="00AF11D4"/>
    <w:rsid w:val="00B249A3"/>
    <w:rsid w:val="00B63EED"/>
    <w:rsid w:val="00B711B8"/>
    <w:rsid w:val="00B73BA6"/>
    <w:rsid w:val="00BA269E"/>
    <w:rsid w:val="00BB2215"/>
    <w:rsid w:val="00BC1888"/>
    <w:rsid w:val="00BC47F0"/>
    <w:rsid w:val="00C04584"/>
    <w:rsid w:val="00C32489"/>
    <w:rsid w:val="00C6748F"/>
    <w:rsid w:val="00C67A29"/>
    <w:rsid w:val="00C7202C"/>
    <w:rsid w:val="00C83277"/>
    <w:rsid w:val="00C95359"/>
    <w:rsid w:val="00CC1D0A"/>
    <w:rsid w:val="00CC20B4"/>
    <w:rsid w:val="00CC51CC"/>
    <w:rsid w:val="00D05921"/>
    <w:rsid w:val="00D1071B"/>
    <w:rsid w:val="00D223EF"/>
    <w:rsid w:val="00D54346"/>
    <w:rsid w:val="00D60008"/>
    <w:rsid w:val="00D72A9A"/>
    <w:rsid w:val="00DA359C"/>
    <w:rsid w:val="00DA6B24"/>
    <w:rsid w:val="00DB64A8"/>
    <w:rsid w:val="00DC1C9B"/>
    <w:rsid w:val="00DC6D7A"/>
    <w:rsid w:val="00DD1420"/>
    <w:rsid w:val="00DD4E5F"/>
    <w:rsid w:val="00DD579C"/>
    <w:rsid w:val="00E1145C"/>
    <w:rsid w:val="00E14ECD"/>
    <w:rsid w:val="00E15C54"/>
    <w:rsid w:val="00E15F5F"/>
    <w:rsid w:val="00E34BA5"/>
    <w:rsid w:val="00E34D6C"/>
    <w:rsid w:val="00E4596B"/>
    <w:rsid w:val="00E56145"/>
    <w:rsid w:val="00E679BE"/>
    <w:rsid w:val="00E91E53"/>
    <w:rsid w:val="00E94884"/>
    <w:rsid w:val="00EA4C2E"/>
    <w:rsid w:val="00ED1951"/>
    <w:rsid w:val="00ED61D7"/>
    <w:rsid w:val="00EF3BD5"/>
    <w:rsid w:val="00F23263"/>
    <w:rsid w:val="00F63879"/>
    <w:rsid w:val="00F72B8D"/>
    <w:rsid w:val="00F74DE3"/>
    <w:rsid w:val="00F75241"/>
    <w:rsid w:val="00F86A90"/>
    <w:rsid w:val="00FA6781"/>
    <w:rsid w:val="00FC145A"/>
    <w:rsid w:val="00FD25F6"/>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A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67193E"/>
    <w:rPr>
      <w:color w:val="0000FF" w:themeColor="hyperlink"/>
      <w:u w:val="single"/>
    </w:rPr>
  </w:style>
  <w:style w:type="character" w:styleId="UnresolvedMention">
    <w:name w:val="Unresolved Mention"/>
    <w:basedOn w:val="DefaultParagraphFont"/>
    <w:uiPriority w:val="99"/>
    <w:semiHidden/>
    <w:unhideWhenUsed/>
    <w:rsid w:val="0011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mcc.osu.edu/about-us/land-acknowle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c.osu.edu/about-us/land-acknowled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2022-04-04T23:16:00Z</dcterms:created>
  <dcterms:modified xsi:type="dcterms:W3CDTF">2022-04-04T23:16:00Z</dcterms:modified>
</cp:coreProperties>
</file>